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3CA1" w14:textId="0E217E34" w:rsidR="006E5749" w:rsidRDefault="006E5749" w:rsidP="00F05ABC">
      <w:pPr>
        <w:spacing w:after="120" w:line="240" w:lineRule="auto"/>
        <w:jc w:val="both"/>
        <w:rPr>
          <w:rFonts w:ascii="Arial" w:hAnsi="Arial" w:cs="Arial"/>
          <w:color w:val="000000" w:themeColor="text1"/>
        </w:rPr>
      </w:pPr>
      <w:bookmarkStart w:id="0" w:name="_GoBack"/>
      <w:bookmarkEnd w:id="0"/>
      <w:r>
        <w:rPr>
          <w:rFonts w:ascii="Arial" w:hAnsi="Arial" w:cs="Arial"/>
          <w:color w:val="000000" w:themeColor="text1"/>
        </w:rPr>
        <w:t xml:space="preserve">Zespół, ze względu na swój charakter, skupił się na odpowiedziach na pytania związane </w:t>
      </w:r>
      <w:r>
        <w:rPr>
          <w:rFonts w:ascii="Arial" w:hAnsi="Arial" w:cs="Arial"/>
          <w:i/>
          <w:iCs/>
          <w:color w:val="000000" w:themeColor="text1"/>
        </w:rPr>
        <w:t>stricte</w:t>
      </w:r>
      <w:r>
        <w:rPr>
          <w:rFonts w:ascii="Arial" w:hAnsi="Arial" w:cs="Arial"/>
          <w:color w:val="000000" w:themeColor="text1"/>
        </w:rPr>
        <w:t xml:space="preserve"> z rynkiem brokerskim, sygnalizując jedynie inne problemy rynku.</w:t>
      </w:r>
    </w:p>
    <w:p w14:paraId="2958A18A" w14:textId="77777777" w:rsidR="006E5749" w:rsidRDefault="006E5749" w:rsidP="00F05ABC">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Pytanie 1</w:t>
      </w:r>
    </w:p>
    <w:p w14:paraId="72933082" w14:textId="384266E5" w:rsidR="006E5749" w:rsidRPr="007F3FE2" w:rsidRDefault="006E5749" w:rsidP="007F3FE2">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Czy i pod jakimi warunkami broker ubezpieczeniowy może przyjąć pełnomocnictwo od klienta, który jest już reprezentowany przez innego brokera?</w:t>
      </w:r>
    </w:p>
    <w:p w14:paraId="13B8E7AF"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Bez wątpienia, istotnym problemem rynku ubezpieczeniowego są przypadki, w których nie można jednoznacznie i w sposób stanowczy przesądzić, jaki jest wzajemny stosunek dwóch lub większej liczby pełnomocnictw udzielonych przez klienta brokerom w tym samym lub choćby częściowo pokrywającym się zakresie. Aby wyeliminować nieprawidłowości, należałoby przyjąć jednolite standardy zawodowe wykonywania czynności przez brokerów ubezpieczeniowych. Standardy te mogły by być wzorowane na przykład na przyjętych i funkcjonujących w praktyce zasadach wykonywania innych zawodów, w których występują podobne dylematy prawne i etyczne. Jak się zdaje, dobrym wzorem dla uregulowania, które mogłoby zostać przyjęte jako inspiracja dla standardu działalności brokerów ubezpieczeniowych jest art. 53 Kodeksu Etyki Radcy Prawnego (po zaadaptowaniu tego przepisu do realiów pracy brokera ubezpieczeniowego). </w:t>
      </w:r>
    </w:p>
    <w:p w14:paraId="379CF32D"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Propozycja uregulowania problemu wielości pełnomocnictw w działalności brokerów ubezpieczeniowych:</w:t>
      </w:r>
    </w:p>
    <w:p w14:paraId="1B29CD95" w14:textId="77777777" w:rsidR="006E5749" w:rsidRDefault="006E5749" w:rsidP="00F05ABC">
      <w:pPr>
        <w:pStyle w:val="Akapitzlist"/>
        <w:numPr>
          <w:ilvl w:val="0"/>
          <w:numId w:val="2"/>
        </w:numPr>
        <w:spacing w:after="120" w:line="240" w:lineRule="auto"/>
        <w:jc w:val="both"/>
        <w:rPr>
          <w:rFonts w:ascii="Arial" w:hAnsi="Arial" w:cs="Arial"/>
          <w:i/>
          <w:iCs/>
          <w:color w:val="000000" w:themeColor="text1"/>
        </w:rPr>
      </w:pPr>
      <w:r>
        <w:rPr>
          <w:rFonts w:ascii="Arial" w:hAnsi="Arial" w:cs="Arial"/>
          <w:i/>
          <w:iCs/>
          <w:color w:val="000000" w:themeColor="text1"/>
        </w:rPr>
        <w:t xml:space="preserve">Przed rozpoczęciem wykonywania czynności zawodowych broker zobowiązany jest dowiedzieć się od klienta, czy na rzecz tego klienta działa już inny broker ubezpieczeniowy oraz jaki jest zakres pełnomocnictwa udzielonego temu brokerowi przez klienta. </w:t>
      </w:r>
    </w:p>
    <w:p w14:paraId="2DC08481" w14:textId="77777777" w:rsidR="006E5749" w:rsidRDefault="006E5749" w:rsidP="00F05ABC">
      <w:pPr>
        <w:pStyle w:val="Akapitzlist"/>
        <w:numPr>
          <w:ilvl w:val="0"/>
          <w:numId w:val="2"/>
        </w:numPr>
        <w:spacing w:after="120" w:line="240" w:lineRule="auto"/>
        <w:jc w:val="both"/>
        <w:rPr>
          <w:rFonts w:ascii="Arial" w:hAnsi="Arial" w:cs="Arial"/>
          <w:i/>
          <w:iCs/>
          <w:color w:val="000000" w:themeColor="text1"/>
        </w:rPr>
      </w:pPr>
      <w:r>
        <w:rPr>
          <w:rFonts w:ascii="Arial" w:hAnsi="Arial" w:cs="Arial"/>
          <w:i/>
          <w:iCs/>
          <w:color w:val="000000" w:themeColor="text1"/>
        </w:rPr>
        <w:t>Jeżeli od klienta lub z innych źródeł broker dowiedział się, że na rzecz tego klienta działa inny broker i że zakres udzielonego temu brokerowi pełnomocnictwa choćby częściowo pokrywa się z zakresem pełnomocnictwa, które ma zostać udzielone brokerowi, broker ten:</w:t>
      </w:r>
    </w:p>
    <w:p w14:paraId="4DA80541" w14:textId="77777777" w:rsidR="006E5749" w:rsidRDefault="006E5749" w:rsidP="00F05ABC">
      <w:pPr>
        <w:pStyle w:val="Akapitzlist"/>
        <w:numPr>
          <w:ilvl w:val="0"/>
          <w:numId w:val="3"/>
        </w:numPr>
        <w:spacing w:after="120" w:line="240" w:lineRule="auto"/>
        <w:jc w:val="both"/>
        <w:rPr>
          <w:rFonts w:ascii="Arial" w:hAnsi="Arial" w:cs="Arial"/>
          <w:i/>
          <w:iCs/>
          <w:color w:val="000000" w:themeColor="text1"/>
        </w:rPr>
      </w:pPr>
      <w:r>
        <w:rPr>
          <w:rFonts w:ascii="Arial" w:hAnsi="Arial" w:cs="Arial"/>
          <w:i/>
          <w:iCs/>
          <w:color w:val="000000" w:themeColor="text1"/>
        </w:rPr>
        <w:t>informuje brokera, któremu klient udzielił wcześniej pełnomocnictwa o podjęciu się wykonywania czynności brokerskich na rzecz danego klienta,</w:t>
      </w:r>
    </w:p>
    <w:p w14:paraId="41DE77E3" w14:textId="77777777" w:rsidR="006E5749" w:rsidRDefault="006E5749" w:rsidP="00F05ABC">
      <w:pPr>
        <w:pStyle w:val="Akapitzlist"/>
        <w:numPr>
          <w:ilvl w:val="0"/>
          <w:numId w:val="3"/>
        </w:numPr>
        <w:spacing w:after="120" w:line="240" w:lineRule="auto"/>
        <w:jc w:val="both"/>
        <w:rPr>
          <w:rFonts w:ascii="Arial" w:hAnsi="Arial" w:cs="Arial"/>
          <w:i/>
          <w:iCs/>
          <w:color w:val="000000" w:themeColor="text1"/>
        </w:rPr>
      </w:pPr>
      <w:r>
        <w:rPr>
          <w:rFonts w:ascii="Arial" w:hAnsi="Arial" w:cs="Arial"/>
          <w:i/>
          <w:iCs/>
          <w:color w:val="000000" w:themeColor="text1"/>
        </w:rPr>
        <w:t xml:space="preserve">ustala z brokerem, któremu klient udzielił wcześniej pełnomocnictwa oraz z klientem zasady współpracy, jeżeli jest to uzasadnione interesem klienta lub gdy klient tego oczekuje, </w:t>
      </w:r>
    </w:p>
    <w:p w14:paraId="0EAA212D" w14:textId="77777777" w:rsidR="006E5749" w:rsidRDefault="006E5749" w:rsidP="00F05ABC">
      <w:pPr>
        <w:pStyle w:val="Akapitzlist"/>
        <w:numPr>
          <w:ilvl w:val="0"/>
          <w:numId w:val="3"/>
        </w:numPr>
        <w:spacing w:after="120" w:line="240" w:lineRule="auto"/>
        <w:jc w:val="both"/>
        <w:rPr>
          <w:rFonts w:ascii="Arial" w:hAnsi="Arial" w:cs="Arial"/>
          <w:i/>
          <w:iCs/>
          <w:color w:val="000000" w:themeColor="text1"/>
        </w:rPr>
      </w:pPr>
      <w:r>
        <w:rPr>
          <w:rFonts w:ascii="Arial" w:hAnsi="Arial" w:cs="Arial"/>
          <w:i/>
          <w:iCs/>
          <w:color w:val="000000" w:themeColor="text1"/>
        </w:rPr>
        <w:t>nie podejmuje działań mających na celu podważenie zaufania klienta wobec brokera, któremu klient udzielił wcześniej pełnomocnictwa.</w:t>
      </w:r>
    </w:p>
    <w:p w14:paraId="2FC7696E" w14:textId="77777777" w:rsidR="006E5749" w:rsidRDefault="006E5749" w:rsidP="00F05ABC">
      <w:pPr>
        <w:pStyle w:val="Akapitzlist"/>
        <w:numPr>
          <w:ilvl w:val="0"/>
          <w:numId w:val="2"/>
        </w:numPr>
        <w:spacing w:after="120" w:line="240" w:lineRule="auto"/>
        <w:jc w:val="both"/>
        <w:rPr>
          <w:rFonts w:ascii="Arial" w:hAnsi="Arial" w:cs="Arial"/>
          <w:i/>
          <w:iCs/>
          <w:color w:val="000000" w:themeColor="text1"/>
        </w:rPr>
      </w:pPr>
      <w:r>
        <w:rPr>
          <w:rFonts w:ascii="Arial" w:hAnsi="Arial" w:cs="Arial"/>
          <w:i/>
          <w:iCs/>
          <w:color w:val="000000" w:themeColor="text1"/>
        </w:rPr>
        <w:t>Broker, któremu klient udzielił wcześniej pełnomocnictwa, informuje brokera, któremu klient udzielił pełnomocnictwa później, o istotnych okolicznościach dotyczących wykonywania czynności brokerskich na rzecz klienta, a na żądanie klienta wydaje mu niezwłocznie dokumenty związane z wykonywaniem czynności brokerskich na rzecz tego klienta.</w:t>
      </w:r>
    </w:p>
    <w:p w14:paraId="10246FA4" w14:textId="77777777" w:rsidR="006E5749" w:rsidRDefault="006E5749" w:rsidP="00F05ABC">
      <w:pPr>
        <w:pStyle w:val="Akapitzlist"/>
        <w:numPr>
          <w:ilvl w:val="0"/>
          <w:numId w:val="2"/>
        </w:numPr>
        <w:spacing w:after="120" w:line="240" w:lineRule="auto"/>
        <w:jc w:val="both"/>
        <w:rPr>
          <w:rFonts w:ascii="Arial" w:hAnsi="Arial" w:cs="Arial"/>
          <w:i/>
          <w:iCs/>
          <w:color w:val="000000" w:themeColor="text1"/>
        </w:rPr>
      </w:pPr>
      <w:r>
        <w:rPr>
          <w:rFonts w:ascii="Arial" w:hAnsi="Arial" w:cs="Arial"/>
          <w:i/>
          <w:iCs/>
          <w:color w:val="000000" w:themeColor="text1"/>
        </w:rPr>
        <w:t>Broker ubezpieczeniowy, któremu klient udzielił pełnomocnictwa później, zobowiązany jest do poinformowania klienta o konieczności rozliczenia się z brokerem, któremu klient udzielił wcześniej pełnomocnictwa lub do samodzielnego uzgodnienia z tym brokerem zasad wzajemnych rozliczeń.</w:t>
      </w:r>
    </w:p>
    <w:p w14:paraId="6219AF1F" w14:textId="1AB7991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Jest to oczywiście propozycja rozwiązania na przyszłość i wyznaczenia nowego standardu na rynku brokerskim.</w:t>
      </w:r>
    </w:p>
    <w:p w14:paraId="0E601B65" w14:textId="77777777" w:rsidR="006E5749" w:rsidRDefault="006E5749" w:rsidP="00F05ABC">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Pytanie 2</w:t>
      </w:r>
    </w:p>
    <w:p w14:paraId="1807B115" w14:textId="77777777" w:rsidR="006E5749" w:rsidRDefault="006E5749" w:rsidP="00F05ABC">
      <w:pPr>
        <w:spacing w:after="120" w:line="240" w:lineRule="auto"/>
        <w:jc w:val="both"/>
        <w:rPr>
          <w:rFonts w:ascii="Arial" w:hAnsi="Arial" w:cs="Arial"/>
          <w:b/>
          <w:bCs/>
          <w:i/>
          <w:iCs/>
          <w:color w:val="000000" w:themeColor="text1"/>
        </w:rPr>
      </w:pPr>
      <w:r>
        <w:rPr>
          <w:rFonts w:ascii="Arial" w:hAnsi="Arial" w:cs="Arial"/>
          <w:b/>
          <w:bCs/>
          <w:i/>
          <w:iCs/>
          <w:color w:val="000000" w:themeColor="text1"/>
        </w:rPr>
        <w:t xml:space="preserve">Jakie zasady postępowania można by postulować do stosowania przez zakład ubezpieczeń, który otrzymuje zapytania dotyczące ubezpieczenia tego samego ryzyka dotyczącego tego samego klienta od więcej niż jednego brokera ubezpieczeniowego?  </w:t>
      </w:r>
    </w:p>
    <w:p w14:paraId="7A213FBA"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lastRenderedPageBreak/>
        <w:t xml:space="preserve">Zacząć należy od uwagi, że broker świadomie przyjmujący pełnomocnictwo od klienta w celu negocjowania określonej umowy ubezpieczenia w sytuacji, gdy klient zaangażował wcześniej innego brokera do negocjowania takiej samej umowy ubezpieczenia może dopuścić się naruszenia dobrych obyczajów, zwłaszcza jeśli w swoich działaniach wykorzysta efekty pracy poprzedniego brokera lub poprzedni broker dysponuje pełnomocnictwem wyłącznym. Takie postępowanie, niestety często spotykane na rynku, jest typowym źródłem konfliktów między brokerami, w które pośrednio – wbrew swojej woli - wikłani bywają również ubezpieczyciel i klient. Jest bowiem jasne, że tylko jeden z działających równolegle brokerów może uzyskać prowizję za doprowadzenie do zawarcia umowy ubezpieczenia.  Dążenie do sfinalizowania transakcji i uzyskania kurtażu nieraz prowadzi do nieprawidłowości, polegających np. na zaniżaniu składki ubezpieczeniowej, co pozornie wydaje się atrakcyjne dla klienta, ale z reguły dokonuje się kosztem zawężenia ochrony ubezpieczeniowej i finalnie niesie dla klienta zagrożenia. </w:t>
      </w:r>
    </w:p>
    <w:p w14:paraId="6896BF40"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Opisana sytuacja może stanowić źródło ryzyka prawnego dla zakładu ubezpieczeń, gdyż – jak wspomniano - może zaangażować go w spór dotyczący tego, któremu brokerowi należna jest prowizja. Z punktu widzenia ubezpieczyciela wskazane jest zatem unikanie opisanych powyżej sytuacji. </w:t>
      </w:r>
    </w:p>
    <w:p w14:paraId="7A33DDAD"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Opisywana sytuacja może też narażać interesy klienta. Praktyka stosowania prawa pokazuje wszakże, że poza niebezpieczeństwem manipulowania zakresem ochrony ubezpieczeniowej może ona też narażać ubezpieczającego na roszczenia odszkodowawcze ze strony brokera ubezpieczeniowego, który wskutek działań ubezpieczającego został pozbawiony szansy uzyskania kurtażu od ubezpieczyciela. </w:t>
      </w:r>
    </w:p>
    <w:p w14:paraId="32CC377A"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W nawiązaniu do wcześniejszych rekomendacji (vide pkt 1) można więc sformułować postulat, by w celu uniknięcia opisanych powyżej ryzyk, w sytuacji, gdy zapytanie dotyczące takiej samej umowy ubezpieczenia składa kolejny broker ubezpieczeniowy, zakład ubezpieczeń zwrócił się doń z prośbą o wykazanie, że to on jest istotnie uprawniony do reprezentowania klienta. Broker, który złożył zapytanie w dalszej kolejności powinien przedstawić dowód, że zwrócił się do klienta z pytaniem, czy ten jest już reprezentowany przez innego brokera i następnie uzyskał potwierdzenie odwołania wcześniejszego pełnomocnictwa udzielonego innemu brokerowi. Oświadczenie klienta w tym zakresie powinno być przedłożone przez drugiego lub kolejnego brokera wraz z zapytaniem ofertowym (slipem) kierowanym do ubezpieczyciela. Zaleca się, by dopiero wtedy ubezpieczyciel składał ofertę na ręce kolejnego brokera. </w:t>
      </w:r>
    </w:p>
    <w:p w14:paraId="400531BF" w14:textId="5685C43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Niezależnie od powyższego, jeżeli pierwszy z brokerów podjął już określone czynności związane z negocjowaniem umowy ubezpieczenia, a kolejny broker zamierza wykorzystać ich efekty (np. kontynuuje negocjacje dotyczące przedłożonej już oferty wstępnej), nowy broker winien złożyć ubezpieczycielowi oświadczenie, że poinformował klienta, że ten winien rozliczyć się z pierwotnie umocowanym brokerem z tytułu realizacji tych czynności lub sam uzgodnił z poprzednim brokerem zasady wzajemnych rozliczeń (vide pkt 1). Poza względami etycznymi, uzyskanie takiego oświadczenia przez ubezpieczyciela minimalizowałoby ryzyko dalszych sporów, niepotrzebnie angażujących ubezpieczyciela lub klienta. Takie rozwiązanie wydaje się zasadne zarówno z aksjologicznego, jak i celowościowego punktu widzenia i powinno wyeliminować, albo przynajmniej znacząco ograniczyć nieprawidłowości występujące obecnie na rynku, związane z angażowaniem przez ubezpieczającego dwóch lub więcej konkurujących ze sobą brokerów (równolegle lub sukcesywnie) do negocjowania tej samej umowy ubezpieczenia.    </w:t>
      </w:r>
    </w:p>
    <w:p w14:paraId="2252397D" w14:textId="77777777" w:rsidR="006E5749" w:rsidRDefault="006E5749" w:rsidP="00F05ABC">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Pytanie 3</w:t>
      </w:r>
    </w:p>
    <w:p w14:paraId="477446BA" w14:textId="77777777" w:rsidR="006E5749" w:rsidRDefault="006E5749" w:rsidP="00F05ABC">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Czy wdrożenie określonych reguł w powyższych zakresach przez wszystkie podmioty rynku wymaga zmiany prawa, czy też może być skutecznie zrealizowane na podstawie dokumentów o charakterze kodeksów etycznych / zasad dobrych praktyk?</w:t>
      </w:r>
    </w:p>
    <w:p w14:paraId="52CA3100" w14:textId="77777777" w:rsidR="006E5749" w:rsidRDefault="006E5749" w:rsidP="00F05ABC">
      <w:pPr>
        <w:spacing w:after="120" w:line="240" w:lineRule="auto"/>
        <w:jc w:val="both"/>
        <w:rPr>
          <w:rFonts w:ascii="Arial" w:hAnsi="Arial" w:cs="Arial"/>
          <w:color w:val="000000" w:themeColor="text1"/>
        </w:rPr>
      </w:pPr>
    </w:p>
    <w:p w14:paraId="31C6A844" w14:textId="77777777" w:rsidR="006E5749" w:rsidRDefault="006E5749" w:rsidP="00F05ABC">
      <w:pPr>
        <w:spacing w:after="120" w:line="240" w:lineRule="auto"/>
        <w:jc w:val="both"/>
        <w:rPr>
          <w:rFonts w:ascii="Arial" w:hAnsi="Arial" w:cs="Arial"/>
          <w:i/>
          <w:iCs/>
          <w:color w:val="000000" w:themeColor="text1"/>
        </w:rPr>
      </w:pPr>
      <w:r>
        <w:rPr>
          <w:rFonts w:ascii="Arial" w:hAnsi="Arial" w:cs="Arial"/>
          <w:color w:val="000000" w:themeColor="text1"/>
        </w:rPr>
        <w:lastRenderedPageBreak/>
        <w:t xml:space="preserve">W sytuacji, gdy samorząd zawodowy brokerów ubezpieczeniowych nie ma charakteru obligatoryjnego dla wszystkich brokerów ubezpieczeniowych, przestrzeganie przez brokerów wydawanych przez samorząd kodeksów etycznych, czy zasad dobrych praktyk nie jest obowiązkowe. Nie oznacza to jednak, że kodeksy takie są pozbawione znaczenia normatywnego. Jeśli bowiem zostaną one zaakceptowane i przyjęte do stosowania przez znaczącą część środowiska brokerskiego oraz znaczącą część zakładów ubezpieczeń, wówczas – z czasem - możliwe będzie uznane norm postępowania w nich zawartych jako dobrych obyczajów, czy ustalonych zwyczajów. Zgodnie zaś z treścią art. 354 § 1 KC, </w:t>
      </w:r>
      <w:r>
        <w:rPr>
          <w:rFonts w:ascii="Arial" w:hAnsi="Arial" w:cs="Arial"/>
          <w:i/>
          <w:iCs/>
          <w:color w:val="000000" w:themeColor="text1"/>
        </w:rPr>
        <w:t>dłużnik powinien wykonać zobowiązanie zgodnie z jego treścią i w sposób odpowiadający jego celowi społeczno-gospodarczemu oraz zasadom współżycia społecznego, a jeżeli istnieją w tym zakresie ustalone zwyczaje – także w sposób odpowiadający tym zwyczajom. W taki sam sposób powinien współdziałać przy wykonaniu zobowiązania wierzyciel.</w:t>
      </w:r>
    </w:p>
    <w:p w14:paraId="2D31F552"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W zakresie, w jakim postulowany sposób postępowania dotyczy zakładów ubezpieczeń jego wdrożenie mogłoby nastąpić poprzez samoregulację w ramach samorządu ubezpieczeniowego, jeśli oczywiście zakłady ubezpieczeń zaakceptują powyższe postulaty. </w:t>
      </w:r>
    </w:p>
    <w:p w14:paraId="1CF30150" w14:textId="4A577261"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Ewentualne wprowadzenie zasad służących usunięciu ww. problemów w akcie prawnym rangi ustawowej byłoby obowiązujące dla wszystkich podmiotów prawa, w tym również dla wszystkich brokerów, ich klientów oraz zakładów ubezpieczeń. Wydaje się, że choć brak jest po stronie ustawodawcy stanowczej woli wprowadzenia ustawowej regulacji umowy zlecenia brokerskiego oraz kwestii ze zleceniem brokerskim i pełnomocnictwem brokerskim związanych, niezależnie od postulatu działań „samoregulacyjnych”, warto kontynuować </w:t>
      </w:r>
      <w:r w:rsidR="009D20AE">
        <w:rPr>
          <w:rFonts w:ascii="Arial" w:hAnsi="Arial" w:cs="Arial"/>
          <w:color w:val="000000" w:themeColor="text1"/>
        </w:rPr>
        <w:t xml:space="preserve"> </w:t>
      </w:r>
      <w:r>
        <w:rPr>
          <w:rFonts w:ascii="Arial" w:hAnsi="Arial" w:cs="Arial"/>
          <w:color w:val="000000" w:themeColor="text1"/>
        </w:rPr>
        <w:t>starania w tym kierunku.</w:t>
      </w:r>
    </w:p>
    <w:p w14:paraId="31862524" w14:textId="77777777" w:rsidR="006E5749" w:rsidRDefault="006E5749" w:rsidP="00F05ABC">
      <w:pPr>
        <w:spacing w:after="120" w:line="240" w:lineRule="auto"/>
        <w:jc w:val="both"/>
        <w:rPr>
          <w:rFonts w:ascii="Arial" w:hAnsi="Arial" w:cs="Arial"/>
          <w:b/>
          <w:bCs/>
          <w:i/>
          <w:iCs/>
          <w:color w:val="000000" w:themeColor="text1"/>
        </w:rPr>
      </w:pPr>
      <w:r>
        <w:rPr>
          <w:rFonts w:ascii="Arial" w:hAnsi="Arial" w:cs="Arial"/>
          <w:b/>
          <w:bCs/>
          <w:i/>
          <w:iCs/>
          <w:color w:val="000000" w:themeColor="text1"/>
        </w:rPr>
        <w:t>Pytanie 4</w:t>
      </w:r>
    </w:p>
    <w:p w14:paraId="2CAE5BC9" w14:textId="7295AEB1" w:rsidR="006E5749" w:rsidRPr="009B6986" w:rsidRDefault="006E5749" w:rsidP="009B6986">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Jaki zakres powinno mieć rozdzielenie działalności brokerskiej i agencyjnej na gruncie obowiązujących przepisów o dystrybucji ubezpieczeń? Czy w tym zakresie celowe byłoby wyrażenie stanowiska przez KNF?</w:t>
      </w:r>
    </w:p>
    <w:p w14:paraId="3803FF2C"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Ustawa o dystrybucji ubezpieczeń, implementując dyrektywę Unii Europejskiej, przewiduje oryginalne, polskie rozwiązania wprowadzające wymogi związane z rozdzieleniem działalności brokera ubezpieczeniowego i agenta. Zakaz łączenia aktywności wynika z tradycji rynku polskiego i uwarunkowań lokalnych. Wyraźne określenie pozycji pośrednika przesądzające o jego odpowiedzialności w stosunku do mocodawcy usuwać ma ewentualny konflikt interesów oraz zapobiegać nieprawidłowościom mogącym niekiedy pojawiać się w praktyce rynkowej. Brak jasnego i jednolitego podejścia do występowania powiązań agencyjno-brokerskich nie sprzyja jednak transparentności i może niekiedy wręcz tworzyć warunki do nieuczciwej konkurencji zagrażającej zarówno długofalowym interesom ubezpieczonego, jak i zakładów ubezpieczeń. </w:t>
      </w:r>
    </w:p>
    <w:p w14:paraId="7F7AA196" w14:textId="35703EB6"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Wydaje się że zakaz powiązań między działalnością brokera i agenta, skoro został już wprowadzony przez ustawodawcę i mimo wieloletnich dyskusji w nauce i w środowisku ustawodawca od niego nie odstąpił, powinien być ściśle określony i doprecyzowany z uwagi na potencjalne rozbieżności interpretacyjne wynikające z ustawy o dystrybucji o ubezpieczeń. Nie budzi wątpliwości, że reprezentowanie przez te same osoby rozbieżnych interesów zakładu ubezpieczeń i klienta poszukującego ochrony choćby w zakresie korzyści finansowych byłoby etycznie wątpliwe. Dlatego, ze względu na brzmienie przepisów ustawy o dystrybucji ubezpieczeń, wskazane mogłoby być bardziej precyzyjne określenie stanowiska ustawodawcy lub organu nadzoru co do pewnych praktyk rynkowych i szczegółowego zakresu dopuszczalnych oraz zakazanych powiązań agentów ubezpieczeniowych i brokerów ubezpieczeniowych.</w:t>
      </w:r>
    </w:p>
    <w:p w14:paraId="1E95E7D0" w14:textId="77777777" w:rsidR="006E5749" w:rsidRDefault="006E5749" w:rsidP="00F05ABC">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lastRenderedPageBreak/>
        <w:t>Pytanie 5</w:t>
      </w:r>
    </w:p>
    <w:p w14:paraId="06F3A0B0" w14:textId="7E01DABC" w:rsidR="006E5749" w:rsidRPr="000231F8" w:rsidRDefault="006E5749" w:rsidP="00F05ABC">
      <w:pPr>
        <w:pStyle w:val="Nagwek3"/>
        <w:spacing w:before="0" w:after="120" w:line="24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W jaki sposób zagwarantować, z punktu widzenia klientów, transparentność rozwiązań mających zapewnić ochronę ubezpieczeniową w kanałach bancassurance i leasingowym?</w:t>
      </w:r>
    </w:p>
    <w:p w14:paraId="4B682121"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Nie budzi wątpliwości, że pod rządami ustawy o dystrybucji ubezpieczeń zarówno banki, jak i firmy leasingowe nie mogą prowadzić dystrybucji ubezpieczeń w innej formie, niż wynikająca z tej ustawy. Tak więc wykorzystując w praktyce swój potencjał mogą być w istocie pośrednikami reprezentującymi zakład ubezpieczeń (agentami ubezpieczeniowymi, agentami oferującymi ubezpieczenia uzupełniające), albo klienta (brokerami ubezpieczeniowymi). To powoduje, że są zobowiązane do wykonywania czynności zgodnie z zasadami ustawy o dystrybucji ubezpieczeń. Wynika z tego, że przy pierwszym kontakcie z klientem są zobowiązane do wyraźnego określenia swojej roli w procesie zawierania umowy ubezpieczenia, wskazania kogo reprezentują, okazania swoich pełnomocnictw oraz wyraźnego określenia, że w procesie ubezpieczeniowym pełnią rolę pośrednika (w tym miejscu pomijamy działanie przez bank lub firmę leasingową w charakterze ubezpieczającego w ubezpieczeniu na cudzy rachunek, co nie stanowi dystrybucji ubezpieczeń i z czym nie może jednak wiązać się pobieranie korzyści finansowych przez ten podmiot, a także działanie w celu ubezpieczenia własnego majątku, co również nie stanowi dystrybucji ubezpieczeń).</w:t>
      </w:r>
    </w:p>
    <w:p w14:paraId="74CBDABB" w14:textId="77777777" w:rsidR="006E5749" w:rsidRDefault="006E5749" w:rsidP="00F05ABC">
      <w:pPr>
        <w:spacing w:after="120" w:line="240" w:lineRule="auto"/>
        <w:jc w:val="both"/>
        <w:rPr>
          <w:rFonts w:ascii="Arial" w:hAnsi="Arial" w:cs="Arial"/>
          <w:b/>
          <w:bCs/>
          <w:i/>
          <w:iCs/>
          <w:color w:val="000000" w:themeColor="text1"/>
        </w:rPr>
      </w:pPr>
      <w:r>
        <w:rPr>
          <w:rFonts w:ascii="Arial" w:hAnsi="Arial" w:cs="Arial"/>
          <w:b/>
          <w:bCs/>
          <w:i/>
          <w:iCs/>
          <w:color w:val="000000" w:themeColor="text1"/>
        </w:rPr>
        <w:t>Pytanie 6:</w:t>
      </w:r>
    </w:p>
    <w:p w14:paraId="6B029B45" w14:textId="40F1AE9B" w:rsidR="006E5749" w:rsidRPr="009B6986" w:rsidRDefault="006E5749" w:rsidP="009B6986">
      <w:pPr>
        <w:spacing w:after="120" w:line="240" w:lineRule="auto"/>
        <w:jc w:val="both"/>
        <w:rPr>
          <w:rFonts w:ascii="Arial" w:hAnsi="Arial" w:cs="Arial"/>
          <w:b/>
          <w:bCs/>
          <w:i/>
          <w:iCs/>
          <w:color w:val="000000" w:themeColor="text1"/>
        </w:rPr>
      </w:pPr>
      <w:r>
        <w:rPr>
          <w:rFonts w:ascii="Arial" w:hAnsi="Arial" w:cs="Arial"/>
          <w:b/>
          <w:bCs/>
          <w:i/>
          <w:iCs/>
          <w:color w:val="000000" w:themeColor="text1"/>
        </w:rPr>
        <w:t>Czy (ewentualnie pod jakimi warunkami) broker ubezpieczeniowy może dzielić się prowizją z klientem? Jaki jest cel i społeczno-gospodarcze uzasadnienie tzw. premii brokerskich? Czy praktyka wypłacania tzw. premii brokerskich jest zgodna z obowiązującym ustawodawstwem? Czy broker może proponować ubezpieczycielowi zastosowanie niższej stawki prowizji po to, by doprowadzić do obniżenia składki?</w:t>
      </w:r>
    </w:p>
    <w:p w14:paraId="5E0B8812"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Poza wyjątkiem określonym w art. 18 </w:t>
      </w:r>
      <w:proofErr w:type="spellStart"/>
      <w:r>
        <w:rPr>
          <w:rFonts w:ascii="Arial" w:hAnsi="Arial" w:cs="Arial"/>
          <w:color w:val="000000" w:themeColor="text1"/>
        </w:rPr>
        <w:t>UDUiR</w:t>
      </w:r>
      <w:proofErr w:type="spellEnd"/>
      <w:r>
        <w:rPr>
          <w:rFonts w:ascii="Arial" w:hAnsi="Arial" w:cs="Arial"/>
          <w:color w:val="000000" w:themeColor="text1"/>
        </w:rPr>
        <w:t>, który wyłącza pobierania wynagrodzenia także przez osoby działające w imieniu i na rzecz ubezpieczającego,  w polskim prawie nie zostały wprowadzone prawne ograniczenia czy zakazy, które uniemożliwiałyby wypłacanie przez brokera ubezpieczeniowego wynagrodzenia ubezpieczającym, również w postaci tzw.   „premii brokerskich”. W polskim prawie nie obowiązują żadne przepisy, które w jakikolwiek sposób sankcjonowałyby lub normowały tę „formę rozliczeń” między zleceniobiorcą (tutaj: brokerem wykonującym czynności pośrednictwa ubezpieczeniowego) a zleceniodawcą (klientem poszukującym ubezpieczenia przy pomocy tego brokera),  w której  zleceniobiorca zobowiązuje się wypłacić zleceniodawcy „premię”  za wykonanie działań na rzecz tego zleceniodawcy. Ten brak przepisów regulujących powyższą formę gratyfikowania  klientów przez brokerów ubezpieczeniowych, działających jako pośrednicy ubezpieczeniowi w imieniu i na ich rzecz tych klientów, jest zaskakujący w kontekście rygorystycznych reguł  dotyczących wykonywania działalności w zakresie pośrednictwa ubezpieczeniowego obowiązujących na naszym rynku  ubezpieczeniowym. Działalność ta jest przecież  szczegółowo normowana przepisami  ustaw krajowych,  dodatkowo powiązanych bezpośrednio lub pośrednio   z regulacjami unijnymi. Ustawowe  określenie zasad prowadzenia działalności ubezpieczeniowej i  pośrednictwa ubezpieczeniowego (w tym m.in. szczegółowe dookreślanie zasad wynagradzania z tego tytułu), umożliwiło spójnie stanowienie  norm  także w innych obszarach  powiązanych  bezpośrednio lub pośrednio z tymi działalnościami. Dotyczy to na przykład zobowiązań podatkowych, powstających na poszczególnych etapach świadczenia szeroko rozumianych usług ubezpieczeniowych. Obowiązujące regulacje podatkowe określają też m.in. zasady opodatkowywania czynności pośrednictwa ubezpieczeniowego, czy świadczenia usług likwidacyjnych. Analiza obowiązujących podstaw prowadzenia działalności ubezpieczeniowej i  pośrednictwa ubezpieczeniowego w kontekście  zjawiska „premii brokerskiej” wskazuje, że pojawienie się na regulowanym rynku ubezpieczeniowym takiej - nieprzewidzianej w prawie - formy gratyfikacji klientów, prowadzić może do swego rodzaju kolizji między obszarami „regulowanymi” i „nieregulowanymi.</w:t>
      </w:r>
    </w:p>
    <w:p w14:paraId="7B700ADA"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lastRenderedPageBreak/>
        <w:t xml:space="preserve">Dodatkowo  analiza zjawiska „premii brokerskiej” w kontekście wszystkich możliwych postaci kauzy czynności prawnych - przy równoczesnej świadomości, że  prawo  cywilne co do zasady wymaga istnienia kauzy czynności prawnej przysparzającej dla jej ważności  - prowadzi do powstania wątpliwości co do </w:t>
      </w:r>
      <w:proofErr w:type="spellStart"/>
      <w:r>
        <w:rPr>
          <w:rFonts w:ascii="Arial" w:hAnsi="Arial" w:cs="Arial"/>
          <w:i/>
          <w:iCs/>
          <w:color w:val="000000" w:themeColor="text1"/>
        </w:rPr>
        <w:t>causae</w:t>
      </w:r>
      <w:proofErr w:type="spellEnd"/>
      <w:r>
        <w:rPr>
          <w:rFonts w:ascii="Arial" w:hAnsi="Arial" w:cs="Arial"/>
          <w:color w:val="000000" w:themeColor="text1"/>
        </w:rPr>
        <w:t xml:space="preserve"> premii brokerskiej. Klient (ubezpieczający), jako strona tej czynności prawnej, zdaje się uzyskiwać  premię pod tytułem </w:t>
      </w:r>
      <w:proofErr w:type="spellStart"/>
      <w:r>
        <w:rPr>
          <w:rFonts w:ascii="Arial" w:hAnsi="Arial" w:cs="Arial"/>
          <w:color w:val="000000" w:themeColor="text1"/>
        </w:rPr>
        <w:t>darmym</w:t>
      </w:r>
      <w:proofErr w:type="spellEnd"/>
      <w:r>
        <w:rPr>
          <w:rFonts w:ascii="Arial" w:hAnsi="Arial" w:cs="Arial"/>
          <w:color w:val="000000" w:themeColor="text1"/>
        </w:rPr>
        <w:t xml:space="preserve">, co rodzić może choćby określone konsekwencje podatkowe. </w:t>
      </w:r>
    </w:p>
    <w:p w14:paraId="145D581E"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 xml:space="preserve">Podsumowując powyższe, należałoby  wskazać na następujące wątpliwości w odniesieniu do tzw. premii brokerskiej. Po pierwsze zidentyfikować można ryzyko naruszenia zasad etyki,  zwłaszcza w przypadku oferowania „premii brokerskiej” przez kolejnego  brokera,  jako swoistej  formy „perswazji” wobec klienta przy próbie jego „przejęcia” od dotychczasowego  pośrednika,  ponoszącego dotąd pełne koszty związane z obsługo tego klienta, refundowane dopiero w przyszłym kurtażu. Kolejny broker może w tej sytuacji zaoferować klientowi atrakcyjną „premię brokerską” ze spodziewanego kurtażu. Jest to tym prostsze, im mniejsze jest zaangażowanie przez nowego brokera własnych zasobów i środków przy doprowadzeniu do zawarcia ubezpieczenia, a tym samym im większe jest wykorzystywanie przez niego pracy i nakładów poniesionych przez poprzednika. Takie zachowanie może w określonych sytuacjach wypełniać znamiona czynu nieuczciwej konkurencji. Po drugie wydaje się, że  zjawisko „premii brokerskiej” może wiązać  się z ryzykiem dla klienta (ubezpieczającego),  w razie  jej niewłaściwego rozpoznania na gruncie podatkowym. Spotykane w obrocie umowy o udzielenie premii brokerskiej rodzą liczne wątpliwości co do właściwej kwalifikacji tego świadczenia. </w:t>
      </w:r>
    </w:p>
    <w:p w14:paraId="5C0A2162" w14:textId="77777777" w:rsidR="006E5749"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Zespół uznał, że najlepszym sposobem rozwiązania zasygnalizowanych problemów i wprowadzenia postulowanych zmian rynku będzie zaproszenie do pogłębionej refleksji uczestników rynku. Wynikami swoich prac zespół postanowił zainteresować zarządzających podmiotami brokerskimi i zakładami ubezpieczeń, Zarząd Stowarzyszenia Polskich Brokerów Ubezpieczeniowych i Reasekuracyjnych, Zarząd Polskiej Izby Brokerów Ubezpieczeniowych i Reasekuracyjnych, a także Zarząd Polskiej Izby Ubezpieczeń,</w:t>
      </w:r>
    </w:p>
    <w:p w14:paraId="71712CA0" w14:textId="2FA98A32" w:rsidR="00633D76" w:rsidRPr="00605466" w:rsidRDefault="006E5749" w:rsidP="00F05ABC">
      <w:pPr>
        <w:spacing w:after="120" w:line="240" w:lineRule="auto"/>
        <w:jc w:val="both"/>
        <w:rPr>
          <w:rFonts w:ascii="Arial" w:hAnsi="Arial" w:cs="Arial"/>
          <w:color w:val="000000" w:themeColor="text1"/>
        </w:rPr>
      </w:pPr>
      <w:r>
        <w:rPr>
          <w:rFonts w:ascii="Arial" w:hAnsi="Arial" w:cs="Arial"/>
          <w:color w:val="000000" w:themeColor="text1"/>
        </w:rPr>
        <w:t>Mamy nadzieję, że praca Zespołu ekspertów zainspiruje zainteresowanych do działań przywracających niekiedy nadszarpnięte zaufanie zarówno do rynku ubezpieczeń, jak i rynku pośrednictwa ubezpieczeniowego.</w:t>
      </w:r>
    </w:p>
    <w:sectPr w:rsidR="00633D76" w:rsidRPr="00605466" w:rsidSect="00D86EA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12D2E"/>
    <w:multiLevelType w:val="hybridMultilevel"/>
    <w:tmpl w:val="7ACA0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15774F4"/>
    <w:multiLevelType w:val="hybridMultilevel"/>
    <w:tmpl w:val="EE4ED4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C361E1"/>
    <w:multiLevelType w:val="hybridMultilevel"/>
    <w:tmpl w:val="B0203476"/>
    <w:lvl w:ilvl="0" w:tplc="70307A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49"/>
    <w:rsid w:val="00010A64"/>
    <w:rsid w:val="000231F8"/>
    <w:rsid w:val="00076E59"/>
    <w:rsid w:val="0010557A"/>
    <w:rsid w:val="001107E8"/>
    <w:rsid w:val="00511D98"/>
    <w:rsid w:val="005B6FC1"/>
    <w:rsid w:val="00605466"/>
    <w:rsid w:val="006132DC"/>
    <w:rsid w:val="00633D76"/>
    <w:rsid w:val="006E5749"/>
    <w:rsid w:val="007F3FE2"/>
    <w:rsid w:val="009B6986"/>
    <w:rsid w:val="009D20AE"/>
    <w:rsid w:val="00CB73D9"/>
    <w:rsid w:val="00D86EA3"/>
    <w:rsid w:val="00DE1380"/>
    <w:rsid w:val="00F05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D323"/>
  <w15:chartTrackingRefBased/>
  <w15:docId w15:val="{937BE729-9166-41AA-A320-A80BDFEA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749"/>
    <w:pPr>
      <w:spacing w:line="256" w:lineRule="auto"/>
    </w:pPr>
    <w:rPr>
      <w:rFonts w:ascii="Calibri" w:eastAsia="Calibri" w:hAnsi="Calibri" w:cs="Calibri"/>
    </w:rPr>
  </w:style>
  <w:style w:type="paragraph" w:styleId="Nagwek3">
    <w:name w:val="heading 3"/>
    <w:basedOn w:val="Normalny"/>
    <w:next w:val="Normalny"/>
    <w:link w:val="Nagwek3Znak"/>
    <w:uiPriority w:val="9"/>
    <w:unhideWhenUsed/>
    <w:qFormat/>
    <w:rsid w:val="006E57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B73D9"/>
    <w:rPr>
      <w:sz w:val="24"/>
      <w:szCs w:val="24"/>
      <w:lang w:val="en-US"/>
    </w:rPr>
  </w:style>
  <w:style w:type="character" w:customStyle="1" w:styleId="TekstpodstawowyZnak">
    <w:name w:val="Tekst podstawowy Znak"/>
    <w:basedOn w:val="Domylnaczcionkaakapitu"/>
    <w:link w:val="Tekstpodstawowy"/>
    <w:uiPriority w:val="1"/>
    <w:rsid w:val="00CB73D9"/>
    <w:rPr>
      <w:rFonts w:ascii="Arial" w:eastAsia="Arial" w:hAnsi="Arial" w:cs="Arial"/>
      <w:sz w:val="24"/>
      <w:szCs w:val="24"/>
      <w:lang w:val="en-US"/>
    </w:rPr>
  </w:style>
  <w:style w:type="character" w:customStyle="1" w:styleId="Nagwek3Znak">
    <w:name w:val="Nagłówek 3 Znak"/>
    <w:basedOn w:val="Domylnaczcionkaakapitu"/>
    <w:link w:val="Nagwek3"/>
    <w:uiPriority w:val="9"/>
    <w:rsid w:val="006E5749"/>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99"/>
    <w:qFormat/>
    <w:rsid w:val="006E57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F0177D27103146BF1198FCA219DC29" ma:contentTypeVersion="13" ma:contentTypeDescription="Utwórz nowy dokument." ma:contentTypeScope="" ma:versionID="7cf45ec75fe8d4839d0eb987fcc984e2">
  <xsd:schema xmlns:xsd="http://www.w3.org/2001/XMLSchema" xmlns:xs="http://www.w3.org/2001/XMLSchema" xmlns:p="http://schemas.microsoft.com/office/2006/metadata/properties" xmlns:ns1="http://schemas.microsoft.com/sharepoint/v3" xmlns:ns3="16a2904c-4b1e-4b91-8c6d-ea8332a7435e" xmlns:ns4="985138e4-1648-404b-9c54-7ceea451a4aa" targetNamespace="http://schemas.microsoft.com/office/2006/metadata/properties" ma:root="true" ma:fieldsID="9fa5a7b658a9177507075878b8a75c0b" ns1:_="" ns3:_="" ns4:_="">
    <xsd:import namespace="http://schemas.microsoft.com/sharepoint/v3"/>
    <xsd:import namespace="16a2904c-4b1e-4b91-8c6d-ea8332a7435e"/>
    <xsd:import namespace="985138e4-1648-404b-9c54-7ceea451a4a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description=""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2904c-4b1e-4b91-8c6d-ea8332a743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138e4-1648-404b-9c54-7ceea451a4a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01345-7CBE-4C65-B61F-0A29CA3EA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7DFF5D-AD35-4941-A638-19E098593782}">
  <ds:schemaRefs>
    <ds:schemaRef ds:uri="http://schemas.microsoft.com/sharepoint/v3/contenttype/forms"/>
  </ds:schemaRefs>
</ds:datastoreItem>
</file>

<file path=customXml/itemProps3.xml><?xml version="1.0" encoding="utf-8"?>
<ds:datastoreItem xmlns:ds="http://schemas.openxmlformats.org/officeDocument/2006/customXml" ds:itemID="{7946BBB5-7507-405E-9D36-39C31428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2904c-4b1e-4b91-8c6d-ea8332a7435e"/>
    <ds:schemaRef ds:uri="985138e4-1648-404b-9c54-7ceea451a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2477</Words>
  <Characters>14865</Characters>
  <Application>Microsoft Office Word</Application>
  <DocSecurity>0</DocSecurity>
  <Lines>123</Lines>
  <Paragraphs>34</Paragraphs>
  <ScaleCrop>false</ScaleCrop>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Szumlicz</dc:creator>
  <cp:keywords/>
  <dc:description/>
  <cp:lastModifiedBy>Tadeusz Szumlicz</cp:lastModifiedBy>
  <cp:revision>12</cp:revision>
  <dcterms:created xsi:type="dcterms:W3CDTF">2020-02-13T10:01:00Z</dcterms:created>
  <dcterms:modified xsi:type="dcterms:W3CDTF">2020-02-13T10:08:00Z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0x0101009BF0177D27103146BF1198FCA219DC29</vt:lpwstr>
  </property>
</Properties>
</file>